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F2" w:rsidRPr="00734C57" w:rsidRDefault="003E7DD7" w:rsidP="003E7DD7">
      <w:pPr>
        <w:widowControl/>
        <w:shd w:val="clear" w:color="auto" w:fill="FFFFFF"/>
        <w:spacing w:before="100" w:beforeAutospacing="1" w:after="100" w:afterAutospacing="1" w:line="432" w:lineRule="atLeast"/>
        <w:jc w:val="center"/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</w:pPr>
      <w:proofErr w:type="gramStart"/>
      <w:r w:rsidRPr="00734C57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湄洲湾</w:t>
      </w:r>
      <w:proofErr w:type="gramEnd"/>
      <w:r w:rsidRPr="00734C57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职业技术学院</w:t>
      </w:r>
    </w:p>
    <w:p w:rsidR="003E7DD7" w:rsidRPr="003E7DD7" w:rsidRDefault="003E7DD7" w:rsidP="003E7DD7">
      <w:pPr>
        <w:widowControl/>
        <w:shd w:val="clear" w:color="auto" w:fill="FFFFFF"/>
        <w:spacing w:before="100" w:beforeAutospacing="1" w:after="100" w:afterAutospacing="1" w:line="432" w:lineRule="atLeast"/>
        <w:jc w:val="center"/>
        <w:rPr>
          <w:rFonts w:ascii="黑体" w:eastAsia="黑体" w:hAnsi="黑体" w:cs="宋体" w:hint="eastAsia"/>
          <w:color w:val="333333"/>
          <w:kern w:val="0"/>
          <w:sz w:val="44"/>
          <w:szCs w:val="44"/>
        </w:rPr>
      </w:pPr>
      <w:r w:rsidRPr="00734C57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2014年政府信息公开工作年度报告</w:t>
      </w:r>
    </w:p>
    <w:p w:rsidR="003E7DD7" w:rsidRPr="003E7DD7" w:rsidRDefault="003E7DD7" w:rsidP="003E7DD7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34C57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莆田市人民政府办公室：</w:t>
      </w:r>
    </w:p>
    <w:p w:rsidR="003E7DD7" w:rsidRPr="003E7DD7" w:rsidRDefault="003E7DD7" w:rsidP="003E7DD7">
      <w:pPr>
        <w:widowControl/>
        <w:shd w:val="clear" w:color="auto" w:fill="FFFFFF"/>
        <w:spacing w:before="100" w:beforeAutospacing="1" w:after="100" w:afterAutospacing="1" w:line="240" w:lineRule="atLeast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本报告主要参照《中华人民共和国政府信息公开条例》和《福建省人民政府办公厅关于做好</w:t>
      </w:r>
      <w:r w:rsidR="00FA67F2" w:rsidRPr="00734C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2014年政府信息公开工作年度报告有关事项的通知》（闽政办明电[2014]63</w:t>
      </w:r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号）及《莆田市</w:t>
      </w:r>
      <w:r w:rsidR="00FA67F2" w:rsidRPr="00734C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2014</w:t>
      </w:r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度政府信息公开工作要点》文件要求编制。报告由概述、主动公开院务信息情况、依申请公开院务信息办理情况、院务信息公开的收费及减免情况、因院务信息公开申请行政复议、提起行政诉讼情况、工作存在的主要问题及改进措施、附表共7个部分组成。报告中所列数据的统计期限自</w:t>
      </w:r>
      <w:r w:rsidR="00FA67F2" w:rsidRPr="00734C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2014</w:t>
      </w:r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年1月1日起至</w:t>
      </w:r>
      <w:r w:rsidR="00FA67F2" w:rsidRPr="00734C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2014</w:t>
      </w:r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年12月31日止。本报告的电子版可在</w:t>
      </w:r>
      <w:proofErr w:type="gramStart"/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湄洲湾</w:t>
      </w:r>
      <w:proofErr w:type="gramEnd"/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职业技术学院信息公开栏目中查阅或下载（http://xxgk.fjmzw.com/）。如对本报告有任何疑问，请与</w:t>
      </w:r>
      <w:proofErr w:type="gramStart"/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湄洲湾</w:t>
      </w:r>
      <w:proofErr w:type="gramEnd"/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职业技术学院办公室联系（地址：福建省莆田市枫亭蔡襄北街1999号；邮编：351254；电话： 7692626；传真：7692626；电子邮箱：mzy</w:t>
      </w:r>
      <w:hyperlink r:id="rId4" w:history="1">
        <w:r w:rsidRPr="00734C57">
          <w:rPr>
            <w:rFonts w:ascii="仿宋_GB2312" w:eastAsia="仿宋_GB2312" w:hAnsi="Times New Roman" w:cs="Times New Roman" w:hint="eastAsia"/>
            <w:color w:val="333333"/>
            <w:kern w:val="0"/>
            <w:sz w:val="32"/>
            <w:szCs w:val="32"/>
          </w:rPr>
          <w:t>bgs@126.com</w:t>
        </w:r>
      </w:hyperlink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）。</w:t>
      </w:r>
    </w:p>
    <w:p w:rsidR="003E7DD7" w:rsidRPr="003E7DD7" w:rsidRDefault="003E7DD7" w:rsidP="003E7DD7">
      <w:pPr>
        <w:widowControl/>
        <w:shd w:val="clear" w:color="auto" w:fill="FFFFFF"/>
        <w:spacing w:before="100" w:beforeAutospacing="1" w:after="100" w:afterAutospacing="1" w:line="432" w:lineRule="atLeast"/>
        <w:ind w:firstLine="480"/>
        <w:jc w:val="left"/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</w:pPr>
      <w:r w:rsidRPr="003E7DD7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一、概述</w:t>
      </w:r>
    </w:p>
    <w:p w:rsidR="003E7DD7" w:rsidRPr="003E7DD7" w:rsidRDefault="00FA67F2" w:rsidP="003E7DD7">
      <w:pPr>
        <w:widowControl/>
        <w:shd w:val="clear" w:color="auto" w:fill="FFFFFF"/>
        <w:spacing w:before="100" w:beforeAutospacing="1" w:after="100" w:afterAutospacing="1" w:line="432" w:lineRule="atLeast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34C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2014</w:t>
      </w:r>
      <w:r w:rsidR="003E7DD7"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</w:t>
      </w:r>
      <w:r w:rsidRPr="00734C57">
        <w:rPr>
          <w:rFonts w:ascii="仿宋_GB2312" w:eastAsia="仿宋_GB2312" w:hAnsi="宋体" w:cs="宋体" w:hint="eastAsia"/>
          <w:kern w:val="0"/>
          <w:sz w:val="32"/>
          <w:szCs w:val="32"/>
        </w:rPr>
        <w:t>我院根据《条例》和《办法》的要求，信息公开工作运行正常，信息咨询工作开展顺利</w:t>
      </w:r>
      <w:r w:rsidR="003E7DD7"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。 </w:t>
      </w:r>
      <w:r w:rsidR="003E7DD7"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FA67F2" w:rsidRPr="00734C57" w:rsidRDefault="00FA67F2" w:rsidP="00FA67F2">
      <w:pPr>
        <w:widowControl/>
        <w:ind w:firstLine="585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734C57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（一）形成稳定信息公开制度</w:t>
      </w:r>
    </w:p>
    <w:p w:rsidR="00FA67F2" w:rsidRPr="00734C57" w:rsidRDefault="00FA67F2" w:rsidP="00FA67F2">
      <w:pPr>
        <w:widowControl/>
        <w:ind w:firstLine="58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34C57">
        <w:rPr>
          <w:rFonts w:ascii="仿宋_GB2312" w:eastAsia="仿宋_GB2312" w:hAnsi="宋体" w:cs="宋体" w:hint="eastAsia"/>
          <w:kern w:val="0"/>
          <w:sz w:val="32"/>
          <w:szCs w:val="32"/>
        </w:rPr>
        <w:t>我校始终高度重视信息公开工作，学校多次专门召开会议进行了专题研究布置，通报文件精神、开展学习培训，并对贯彻落实工作做出了具体部署，做到中心工作与信息工作共同推进。一是进一步增强信息公开意识，多次组织各部处、学院深入学习和贯彻教育部和省教育厅有关文件精神，提高广大师生对信息公开工作重要性和意义的认识，形成信息公开的稳定工作机制。二是进一步落实信息公开工作责任，按照教育部办公厅《关于进一步做好信息公开保密审查工作的通知》等文件精神，明确各部处、学院负责人为信息公开工作的第一责任人，并</w:t>
      </w:r>
      <w:proofErr w:type="gramStart"/>
      <w:r w:rsidRPr="00734C57">
        <w:rPr>
          <w:rFonts w:ascii="仿宋_GB2312" w:eastAsia="仿宋_GB2312" w:hAnsi="宋体" w:cs="宋体" w:hint="eastAsia"/>
          <w:kern w:val="0"/>
          <w:sz w:val="32"/>
          <w:szCs w:val="32"/>
        </w:rPr>
        <w:t>实行问</w:t>
      </w:r>
      <w:proofErr w:type="gramEnd"/>
      <w:r w:rsidRPr="00734C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责机制。三是进一步细化了信息公开目录专栏，根据《高等学校信息公开事项清单》研究制订了学校《大学章程》、学校学术委员会章程、学校教学委员会章程、学校学位委员会章程等相关制度。 </w:t>
      </w:r>
    </w:p>
    <w:p w:rsidR="00FA67F2" w:rsidRPr="00734C57" w:rsidRDefault="00FA67F2" w:rsidP="00FA67F2">
      <w:pPr>
        <w:widowControl/>
        <w:ind w:firstLine="585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734C5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（二）聚焦师生关注重点</w:t>
      </w:r>
    </w:p>
    <w:p w:rsidR="00FA67F2" w:rsidRPr="00734C57" w:rsidRDefault="00FA67F2" w:rsidP="00FA67F2">
      <w:pPr>
        <w:widowControl/>
        <w:ind w:firstLine="58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34C57">
        <w:rPr>
          <w:rFonts w:ascii="仿宋_GB2312" w:eastAsia="仿宋_GB2312" w:hAnsi="宋体" w:cs="宋体" w:hint="eastAsia"/>
          <w:kern w:val="0"/>
          <w:sz w:val="32"/>
          <w:szCs w:val="32"/>
        </w:rPr>
        <w:t>根据上级有关文件的要求，学校结合党的群众路线教育实践活动、全面深化校院管理体制改革、实施专业技术职务聘任制改革、绩效工资改革、推进党风廉政风险防控等工作，加大了包括学科发展、人事管理、人事招聘、财务管理、招生工作、科研管理、学生管理、基本建设、后勤管理等师生重点关注方面内容的公开力度，丰富了信息公开内容和内涵，</w:t>
      </w:r>
      <w:r w:rsidRPr="00734C5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拓展了信息公开的深度和广度，有序推进了校院两级信息公开工作的全面开展。</w:t>
      </w:r>
    </w:p>
    <w:p w:rsidR="00FA67F2" w:rsidRPr="00734C57" w:rsidRDefault="00FA67F2" w:rsidP="00FA67F2">
      <w:pPr>
        <w:widowControl/>
        <w:ind w:firstLine="585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734C5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（三）加强信息公开平台建设</w:t>
      </w:r>
    </w:p>
    <w:p w:rsidR="00FA67F2" w:rsidRPr="00734C57" w:rsidRDefault="00FA67F2" w:rsidP="00FA67F2">
      <w:pPr>
        <w:widowControl/>
        <w:ind w:firstLine="58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34C57">
        <w:rPr>
          <w:rFonts w:ascii="仿宋_GB2312" w:eastAsia="仿宋_GB2312" w:hAnsi="宋体" w:cs="宋体" w:hint="eastAsia"/>
          <w:kern w:val="0"/>
          <w:sz w:val="32"/>
          <w:szCs w:val="32"/>
        </w:rPr>
        <w:t>学校积极推动信息化建设，有效拓展信息公开的服务渠道和方式方法。发挥学校门户网站、信息公开网等作用，在学校主页及时发布学院要闻、通知公告、招标信息等各类信息，方便师生和公众知晓学校工作。公布了信息公开受理和监督投诉受理的单位、联系方式便于师生来电来访；学校各二级单位也及时更新网上公告栏、公开栏等。学校正在建设以“信息门户”为窗口的办公自动化系统，不断提高以办公自动化为核心的管理服务水平和办事效率。我校还推行实体校长信箱、网上校长信箱、纪委举报信箱，进行线上、线下并行受理，健全了信息通道，以及建立完善校园各路段、教室、食堂的电子屏信息公开体系，对师生关注的讲座、宣讲会、时事新闻等信息进行滚动播出。同时，根据社会公众对高校信息需求特点，我校采取多种措施主动推送信息，提高信息公开工作的效能。对招生等公众需求量大的工作，我校主动做好信息推送服务，开放多种渠道发布信息，通过举办招生专场宣讲会、设立专门的电话、网络咨询通道，专人接待来访咨询，参加广播电台、电视台专场互动咨询等举措推送招生信息，使公众方便快捷地获得所需求的信息。</w:t>
      </w:r>
    </w:p>
    <w:p w:rsidR="00FA67F2" w:rsidRPr="00734C57" w:rsidRDefault="00FA67F2" w:rsidP="00FA67F2">
      <w:pPr>
        <w:widowControl/>
        <w:ind w:firstLine="585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734C5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734C5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（四）做好信息公开的督查和保密审查</w:t>
      </w:r>
    </w:p>
    <w:p w:rsidR="003E7DD7" w:rsidRPr="003E7DD7" w:rsidRDefault="00FA67F2" w:rsidP="00FA67F2">
      <w:pPr>
        <w:widowControl/>
        <w:shd w:val="clear" w:color="auto" w:fill="FFFFFF"/>
        <w:spacing w:before="100" w:beforeAutospacing="1" w:after="100" w:afterAutospacing="1" w:line="432" w:lineRule="atLeast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34C5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学校信息公开工作接受信息公开监督投诉受理，本学年未收到相关投诉。在严格贯彻执行信息公开有关法律法规和文件精神，保障公众知情权、参与权、表达权和监督权的同时，认真贯彻执行《中华人民共和国保守国家秘密法》、《教育部政府信息公开保密审查规范（试行）》等法律法规和文件精神的要求，要求各部门各单位建立和完善信息公开保密审查的工作程序，确保涉密信息不能对外公开，妥善处理公开与保密的关系，既做到防止不断扩大保密范围损害公民的知情权，又重视防止失泄密事件的发生。</w:t>
      </w:r>
    </w:p>
    <w:p w:rsidR="003E7DD7" w:rsidRPr="003E7DD7" w:rsidRDefault="003E7DD7" w:rsidP="003E7DD7">
      <w:pPr>
        <w:widowControl/>
        <w:shd w:val="clear" w:color="auto" w:fill="FFFFFF"/>
        <w:spacing w:before="100" w:beforeAutospacing="1" w:after="100" w:afterAutospacing="1" w:line="432" w:lineRule="atLeast"/>
        <w:ind w:firstLine="480"/>
        <w:jc w:val="left"/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</w:pPr>
      <w:r w:rsidRPr="003E7DD7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二、主动公开院务信息的情况</w:t>
      </w:r>
    </w:p>
    <w:p w:rsidR="003E7DD7" w:rsidRPr="003E7DD7" w:rsidRDefault="00FA67F2" w:rsidP="003E7DD7">
      <w:pPr>
        <w:widowControl/>
        <w:shd w:val="clear" w:color="auto" w:fill="FFFFFF"/>
        <w:spacing w:before="100" w:beforeAutospacing="1" w:after="100" w:afterAutospacing="1" w:line="432" w:lineRule="atLeast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34C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2014</w:t>
      </w:r>
      <w:r w:rsidR="003E7DD7"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年，我院通过校园网、院务公开栏等，主动公开信息</w:t>
      </w:r>
      <w:r w:rsidRPr="00734C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184</w:t>
      </w:r>
      <w:r w:rsidR="003E7DD7"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条，涵盖财务、人事、招投标、学生工作、组织工作等学院工作的各个方面，及时公布了《</w:t>
      </w:r>
      <w:proofErr w:type="gramStart"/>
      <w:r w:rsidR="003E7DD7"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湄洲湾</w:t>
      </w:r>
      <w:proofErr w:type="gramEnd"/>
      <w:r w:rsidR="003E7DD7"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职业技术学院</w:t>
      </w:r>
      <w:r w:rsidRPr="00734C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2014</w:t>
      </w:r>
      <w:r w:rsidR="003E7DD7"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秋季收费院长公告》、学院中长期发展规划、“十二五”发展规划及各项子规划、招聘信息、职称评聘信息、机构设置及人员调整名单、</w:t>
      </w:r>
      <w:proofErr w:type="gramStart"/>
      <w:r w:rsidR="003E7DD7"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各类招投标</w:t>
      </w:r>
      <w:proofErr w:type="gramEnd"/>
      <w:r w:rsidR="003E7DD7"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、干部考核以及与师生员工利益关系密切等方面的信息，切实把信息公开和权力公开透明运行原则落实到学院管理的全过程。</w:t>
      </w:r>
    </w:p>
    <w:p w:rsidR="003E7DD7" w:rsidRPr="003E7DD7" w:rsidRDefault="003E7DD7" w:rsidP="003E7DD7">
      <w:pPr>
        <w:widowControl/>
        <w:shd w:val="clear" w:color="auto" w:fill="FFFFFF"/>
        <w:spacing w:before="100" w:beforeAutospacing="1" w:after="100" w:afterAutospacing="1" w:line="432" w:lineRule="atLeast"/>
        <w:ind w:firstLine="480"/>
        <w:jc w:val="left"/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</w:pPr>
      <w:r w:rsidRPr="003E7DD7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三、依申请公开院务信息办理情况</w:t>
      </w:r>
    </w:p>
    <w:p w:rsidR="003E7DD7" w:rsidRPr="003E7DD7" w:rsidRDefault="003E7DD7" w:rsidP="003E7DD7">
      <w:pPr>
        <w:widowControl/>
        <w:shd w:val="clear" w:color="auto" w:fill="FFFFFF"/>
        <w:spacing w:before="100" w:beforeAutospacing="1" w:after="100" w:afterAutospacing="1" w:line="432" w:lineRule="atLeast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（一）依申请公开工作受理、答复情况。为了推进我校政府信息公开工作有序、规范开展，我校制定了《政府信息依申请公开流程》，全年受理依申请公开政府信息0条。</w:t>
      </w:r>
    </w:p>
    <w:p w:rsidR="003E7DD7" w:rsidRPr="003E7DD7" w:rsidRDefault="003E7DD7" w:rsidP="003E7DD7">
      <w:pPr>
        <w:widowControl/>
        <w:shd w:val="clear" w:color="auto" w:fill="FFFFFF"/>
        <w:spacing w:before="100" w:beforeAutospacing="1" w:after="100" w:afterAutospacing="1" w:line="432" w:lineRule="atLeast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（二）不予以公开政府信息备案情况。由于今年我校未发生政府信息公开申请，未有形成备案。</w:t>
      </w:r>
    </w:p>
    <w:p w:rsidR="003E7DD7" w:rsidRPr="003E7DD7" w:rsidRDefault="003E7DD7" w:rsidP="003E7DD7">
      <w:pPr>
        <w:widowControl/>
        <w:shd w:val="clear" w:color="auto" w:fill="FFFFFF"/>
        <w:spacing w:before="100" w:beforeAutospacing="1" w:after="100" w:afterAutospacing="1" w:line="432" w:lineRule="atLeast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四、院务信息公开的收费及减免情况</w:t>
      </w:r>
    </w:p>
    <w:p w:rsidR="003E7DD7" w:rsidRPr="003E7DD7" w:rsidRDefault="003E7DD7" w:rsidP="003E7DD7">
      <w:pPr>
        <w:widowControl/>
        <w:shd w:val="clear" w:color="auto" w:fill="FFFFFF"/>
        <w:spacing w:before="100" w:beforeAutospacing="1" w:after="100" w:afterAutospacing="1" w:line="432" w:lineRule="atLeast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未出现信息公开收费和减免的情况。</w:t>
      </w:r>
    </w:p>
    <w:p w:rsidR="003E7DD7" w:rsidRPr="003E7DD7" w:rsidRDefault="003E7DD7" w:rsidP="003E7DD7">
      <w:pPr>
        <w:widowControl/>
        <w:shd w:val="clear" w:color="auto" w:fill="FFFFFF"/>
        <w:spacing w:before="100" w:beforeAutospacing="1" w:after="100" w:afterAutospacing="1" w:line="432" w:lineRule="atLeast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五、因院务信息公开申请行政复议、提起行政诉讼的情况</w:t>
      </w:r>
    </w:p>
    <w:p w:rsidR="003E7DD7" w:rsidRPr="003E7DD7" w:rsidRDefault="003E7DD7" w:rsidP="003E7DD7">
      <w:pPr>
        <w:widowControl/>
        <w:shd w:val="clear" w:color="auto" w:fill="FFFFFF"/>
        <w:spacing w:before="100" w:beforeAutospacing="1" w:after="100" w:afterAutospacing="1" w:line="432" w:lineRule="atLeast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3E7D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未存在因政府信息公开申请行政复议、提起行政诉讼的情况。</w:t>
      </w:r>
    </w:p>
    <w:p w:rsidR="003E7DD7" w:rsidRPr="003E7DD7" w:rsidRDefault="003E7DD7" w:rsidP="003E7DD7">
      <w:pPr>
        <w:widowControl/>
        <w:shd w:val="clear" w:color="auto" w:fill="FFFFFF"/>
        <w:spacing w:before="100" w:beforeAutospacing="1" w:after="100" w:afterAutospacing="1" w:line="432" w:lineRule="atLeast"/>
        <w:ind w:firstLine="480"/>
        <w:jc w:val="left"/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</w:pPr>
      <w:r w:rsidRPr="003E7DD7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六、信息公开工作存在的主要问题及改进措施</w:t>
      </w:r>
    </w:p>
    <w:p w:rsidR="00734C57" w:rsidRPr="00734C57" w:rsidRDefault="00734C57" w:rsidP="00734C57">
      <w:pPr>
        <w:spacing w:line="60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34C57">
        <w:rPr>
          <w:rFonts w:ascii="仿宋_GB2312" w:eastAsia="仿宋_GB2312" w:hAnsi="宋体" w:cs="宋体" w:hint="eastAsia"/>
          <w:kern w:val="0"/>
          <w:sz w:val="32"/>
          <w:szCs w:val="32"/>
        </w:rPr>
        <w:t>我校以实际的举措稳步推进学校信息公开工作，也取得一定成效，同时，我们也清醒的认识到，创新信息公开工作是推进依法治校的重要环节。我校信息公开工作机制、队伍建设还有待进一步完善与加强，相关配套措施有待进一步跟上，部分单位信息公开的时效性和主动性不强、工作进展还不平衡。这些问题，都需要在今后工作中不断加以改进和加强。</w:t>
      </w:r>
    </w:p>
    <w:p w:rsidR="00734C57" w:rsidRDefault="00734C57" w:rsidP="00734C57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34C5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一是进一步加强信息公开的机制体制建设，确保公开信息的规范性、一致性、权威性；二是根据《高等学校信息公开事项清单》要求，落实细化方案，明确清单各项事项的公开时间、责任机构与责任人；三是加强对学校信息公开工作的宣传和培训。强化队伍建设。加强人员配备，组织全校各部门认真开展信息公开有关法律法规和规章制度的学习、培训，进一步提高政策水平和业务水平。充分发挥学校各单位的作用，确保公开工作各项要求落到实处，不断提升学校信息公开整体工作水平；四是在学校事务决策中加强信息沟通，充分发挥工会、团委、教代会、学生会等机构和群团组织的作用，建立重要信息通报机制和重要会议列席制度，鼓励各方力量参与共同推动信息公开的深入开展；五是由学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两办、纪委牵头，加强信息公开工作的督查与督办</w:t>
      </w:r>
      <w:r w:rsidRPr="00734C5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3E7DD7" w:rsidRPr="003E7DD7" w:rsidRDefault="003E7DD7" w:rsidP="00734C57">
      <w:pPr>
        <w:widowControl/>
        <w:shd w:val="clear" w:color="auto" w:fill="FFFFFF"/>
        <w:spacing w:before="100" w:beforeAutospacing="1" w:after="100" w:afterAutospacing="1" w:line="288" w:lineRule="atLeast"/>
        <w:jc w:val="left"/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</w:pPr>
      <w:r w:rsidRPr="003E7DD7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七、附表</w:t>
      </w:r>
    </w:p>
    <w:tbl>
      <w:tblPr>
        <w:tblW w:w="4955" w:type="pct"/>
        <w:jc w:val="center"/>
        <w:tblCellMar>
          <w:top w:w="567" w:type="dxa"/>
          <w:left w:w="567" w:type="dxa"/>
          <w:bottom w:w="567" w:type="dxa"/>
          <w:right w:w="567" w:type="dxa"/>
        </w:tblCellMar>
        <w:tblLook w:val="04A0"/>
      </w:tblPr>
      <w:tblGrid>
        <w:gridCol w:w="4502"/>
        <w:gridCol w:w="1034"/>
        <w:gridCol w:w="1410"/>
        <w:gridCol w:w="1380"/>
      </w:tblGrid>
      <w:tr w:rsidR="003E7DD7" w:rsidRPr="003E7DD7" w:rsidTr="003E7DD7">
        <w:trPr>
          <w:trHeight w:val="384"/>
          <w:jc w:val="center"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734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指</w:t>
            </w:r>
            <w:r w:rsidRPr="00734C57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734C57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  <w:r w:rsidRPr="00734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标</w:t>
            </w:r>
            <w:r w:rsidRPr="00734C57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734C57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  <w:r w:rsidRPr="00734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  <w:r w:rsidRPr="00734C57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734C57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  <w:r w:rsidRPr="00734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称</w:t>
            </w:r>
          </w:p>
        </w:tc>
        <w:tc>
          <w:tcPr>
            <w:tcW w:w="621" w:type="pct"/>
            <w:tcBorders>
              <w:top w:val="single" w:sz="4" w:space="0" w:color="000000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734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计量</w:t>
            </w:r>
          </w:p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734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847" w:type="pct"/>
            <w:tcBorders>
              <w:top w:val="single" w:sz="4" w:space="0" w:color="000000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734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 w:rsidR="00FA67F2" w:rsidRPr="00734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734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</w:p>
        </w:tc>
        <w:tc>
          <w:tcPr>
            <w:tcW w:w="829" w:type="pct"/>
            <w:tcBorders>
              <w:top w:val="single" w:sz="4" w:space="0" w:color="000000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734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历年</w:t>
            </w:r>
          </w:p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734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累计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制作、获取的政府信息总数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FA67F2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734C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184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FA67F2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734C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486</w:t>
            </w:r>
            <w:r w:rsidR="003E7DD7" w:rsidRPr="003E7D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其中：1.主动公开</w:t>
            </w:r>
            <w:proofErr w:type="gramStart"/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修信息数</w:t>
            </w:r>
            <w:proofErr w:type="gramEnd"/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FA67F2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734C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184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FA67F2" w:rsidP="003E7DD7">
            <w:pPr>
              <w:widowControl/>
              <w:spacing w:before="100" w:beforeAutospacing="1" w:after="100" w:afterAutospacing="1" w:line="348" w:lineRule="atLeast"/>
              <w:ind w:firstLine="252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734C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486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  <w:r w:rsidRPr="003E7D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2.依申请公开文件数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3.不予公开数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受理政府信息公开申请总数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其中：1.当面申请数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3E7D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 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2.电子邮件申请数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3E7D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 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3.网上申请数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　4.信函申请数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对申请的答复总数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其中：1.同意公开答复数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  <w:r w:rsidRPr="003E7D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2.同意部分公开答复数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　3.不予公开答复数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  <w:r w:rsidRPr="003E7D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4.其他类型答复数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受理政府信息公开咨询数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政府信息公开收费减免金额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元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接受行政申诉、举报数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行政复议数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3E7DD7" w:rsidRPr="003E7DD7" w:rsidTr="003E7DD7">
        <w:trPr>
          <w:trHeight w:val="240"/>
          <w:jc w:val="center"/>
        </w:trPr>
        <w:tc>
          <w:tcPr>
            <w:tcW w:w="2703" w:type="pct"/>
            <w:tcBorders>
              <w:top w:val="outset" w:sz="6" w:space="0" w:color="ECE9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行政诉讼数</w:t>
            </w:r>
          </w:p>
        </w:tc>
        <w:tc>
          <w:tcPr>
            <w:tcW w:w="621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47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29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E7DD7" w:rsidRPr="003E7DD7" w:rsidRDefault="003E7DD7" w:rsidP="003E7DD7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3E7D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</w:tbl>
    <w:p w:rsidR="003E7DD7" w:rsidRPr="003E7DD7" w:rsidRDefault="00734C57" w:rsidP="003E7DD7">
      <w:pPr>
        <w:widowControl/>
        <w:shd w:val="clear" w:color="auto" w:fill="FFFFFF"/>
        <w:spacing w:before="100" w:beforeAutospacing="1" w:after="100" w:afterAutospacing="1" w:line="288" w:lineRule="atLeast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 xml:space="preserve">                                  </w:t>
      </w:r>
      <w:r w:rsidR="00FA67F2" w:rsidRPr="00734C57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2015</w:t>
      </w:r>
      <w:r w:rsidR="003E7DD7" w:rsidRPr="00734C57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年1月8日</w:t>
      </w:r>
    </w:p>
    <w:p w:rsidR="00957A42" w:rsidRPr="00734C57" w:rsidRDefault="00957A42">
      <w:pPr>
        <w:rPr>
          <w:rFonts w:ascii="仿宋_GB2312" w:eastAsia="仿宋_GB2312" w:hint="eastAsia"/>
          <w:sz w:val="32"/>
          <w:szCs w:val="32"/>
        </w:rPr>
      </w:pPr>
    </w:p>
    <w:sectPr w:rsidR="00957A42" w:rsidRPr="00734C57" w:rsidSect="00957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DD7"/>
    <w:rsid w:val="003E7DD7"/>
    <w:rsid w:val="00734C57"/>
    <w:rsid w:val="00957A42"/>
    <w:rsid w:val="00FA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DD7"/>
    <w:rPr>
      <w:rFonts w:ascii="Times New Roman" w:hAnsi="Times New Roman" w:cs="Times New Roman" w:hint="default"/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3E7D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E7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3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qktb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479</Words>
  <Characters>2734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杨丽贞</dc:creator>
  <cp:lastModifiedBy>杨丽贞</cp:lastModifiedBy>
  <cp:revision>3</cp:revision>
  <dcterms:created xsi:type="dcterms:W3CDTF">2015-01-04T02:27:00Z</dcterms:created>
  <dcterms:modified xsi:type="dcterms:W3CDTF">2015-01-04T02:39:00Z</dcterms:modified>
</cp:coreProperties>
</file>